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070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3E0066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 w:rsidR="00EA306A"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3E0066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EA306A"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 w:rsidR="00EA306A"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EA306A"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3E0066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EA306A"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3E0066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EA306A"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EA306A"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3E0066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EA306A"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Personas </w:t>
      </w:r>
      <w:r w:rsidR="004E5A29" w:rsidRPr="003D5147">
        <w:rPr>
          <w:b/>
          <w:bCs/>
        </w:rPr>
        <w:t>jurídica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4E5A29">
        <w:rPr>
          <w:bCs/>
          <w:i/>
        </w:rPr>
        <w:t>:</w:t>
      </w:r>
    </w:p>
    <w:p w:rsidR="00DF3D99" w:rsidRPr="009B4D72" w:rsidRDefault="00D037B5" w:rsidP="00B7526B">
      <w:pPr>
        <w:keepNext/>
        <w:ind w:left="1078" w:hanging="539"/>
      </w:pPr>
      <w:r>
        <w:t xml:space="preserve">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EA306A">
        <w:fldChar w:fldCharType="separate"/>
      </w:r>
      <w:r w:rsidR="003E0066"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E0066" w:rsidP="00D037B5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37B5">
        <w:instrText xml:space="preserve"> FORMCHECKBOX </w:instrText>
      </w:r>
      <w:r w:rsidR="00EA306A">
        <w:fldChar w:fldCharType="separate"/>
      </w:r>
      <w:r>
        <w:fldChar w:fldCharType="end"/>
      </w:r>
      <w:r w:rsidR="00D037B5">
        <w:t xml:space="preserve">  </w:t>
      </w:r>
      <w:r w:rsidR="004E5A29">
        <w:t xml:space="preserve">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4E5A29" w:rsidRPr="00351F2F">
        <w:instrText xml:space="preserve"> FORMTEXT </w:instrText>
      </w:r>
      <w:r w:rsidRPr="00351F2F">
        <w:fldChar w:fldCharType="separate"/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Pr="00351F2F">
        <w:fldChar w:fldCharType="end"/>
      </w:r>
      <w:r w:rsidR="004E5A29">
        <w:t>acredita que la documentación de la opción anterior fue</w:t>
      </w:r>
      <w:r w:rsidR="00351F2F">
        <w:t xml:space="preserve"> p</w:t>
      </w:r>
      <w:r w:rsidR="006447E6" w:rsidRPr="00351F2F">
        <w:t xml:space="preserve">resentada </w:t>
      </w:r>
      <w:r w:rsidR="00351F2F" w:rsidRPr="00351F2F">
        <w:t xml:space="preserve">con fecha </w:t>
      </w:r>
      <w:bookmarkStart w:id="11" w:name="Texto37"/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51F2F" w:rsidRPr="00351F2F">
        <w:instrText xml:space="preserve"> FORMTEXT </w:instrText>
      </w:r>
      <w:r w:rsidRPr="00351F2F">
        <w:fldChar w:fldCharType="separate"/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Pr="00351F2F">
        <w:fldChar w:fldCharType="end"/>
      </w:r>
      <w:bookmarkEnd w:id="11"/>
      <w:r w:rsidR="00351F2F" w:rsidRPr="00351F2F">
        <w:t xml:space="preserve"> </w:t>
      </w:r>
      <w:r w:rsidR="006447E6" w:rsidRPr="00351F2F">
        <w:t xml:space="preserve">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2"/>
      <w:r w:rsidR="00351F2F" w:rsidRPr="00351F2F">
        <w:t xml:space="preserve"> y</w:t>
      </w:r>
      <w:r w:rsidR="006447E6" w:rsidRPr="00351F2F">
        <w:t xml:space="preserve">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3"/>
      <w:r w:rsidR="004E5A29">
        <w:t>, y se encuentra actualmente en vigor.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opciones):</w:t>
      </w:r>
      <w:r w:rsidRPr="003D5147">
        <w:rPr>
          <w:b/>
          <w:bCs/>
        </w:rPr>
        <w:t>:</w:t>
      </w:r>
    </w:p>
    <w:p w:rsidR="00DF3D99" w:rsidRPr="009B4D72" w:rsidRDefault="003E0066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EA306A"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EA306A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Todas las empresas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3D5147">
        <w:rPr>
          <w:b/>
          <w:bCs/>
        </w:rPr>
        <w:t>:</w:t>
      </w:r>
    </w:p>
    <w:p w:rsidR="00DF3D99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 w:rsidR="00EA306A">
        <w:rPr>
          <w:b/>
          <w:bCs/>
        </w:rPr>
      </w:r>
      <w:r w:rsidR="00EA306A"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EA306A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4"/>
    </w:p>
    <w:p w:rsidR="003D5147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 w:rsidR="00EA306A">
        <w:rPr>
          <w:b/>
          <w:bCs/>
        </w:rPr>
      </w:r>
      <w:r w:rsidR="00EA306A"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EA306A"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 w:rsidR="00EA306A"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 w:rsidR="00EA306A"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078" w:hanging="539"/>
      </w:pPr>
      <w:r>
        <w:rPr>
          <w:b/>
          <w:bCs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 w:rsidR="00EA306A">
        <w:rPr>
          <w:b/>
          <w:bCs/>
        </w:rPr>
      </w:r>
      <w:r w:rsidR="00EA306A"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EA306A"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 w:rsidR="00EA306A"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 xml:space="preserve"> y título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 w:rsidR="00EA306A"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>Personas jurídicas:</w:t>
      </w:r>
    </w:p>
    <w:p w:rsidR="004E5A29" w:rsidRPr="0045209B" w:rsidRDefault="004E5A29" w:rsidP="00B7526B">
      <w:pPr>
        <w:keepNext/>
        <w:ind w:left="539" w:hanging="539"/>
        <w:rPr>
          <w:b/>
          <w:bCs/>
        </w:rPr>
      </w:pPr>
    </w:p>
    <w:p w:rsidR="006071C6" w:rsidRDefault="00055B3F" w:rsidP="00B7526B">
      <w:pPr>
        <w:keepNext/>
        <w:ind w:left="1080" w:hanging="540"/>
        <w:rPr>
          <w:rFonts w:cs="NewsGotT-Regu"/>
        </w:rPr>
      </w:pPr>
      <w:r>
        <w:rPr>
          <w:b/>
          <w:bCs/>
        </w:rPr>
        <w:t xml:space="preserve"> </w:t>
      </w:r>
      <w:r w:rsid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EA306A">
        <w:rPr>
          <w:b/>
          <w:bCs/>
        </w:rPr>
      </w:r>
      <w:r w:rsidR="00EA306A">
        <w:rPr>
          <w:b/>
          <w:bCs/>
        </w:rPr>
        <w:fldChar w:fldCharType="separate"/>
      </w:r>
      <w:r w:rsidR="003E0066"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empresa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EA306A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6071C6" w:rsidRPr="009B4D72" w:rsidRDefault="003E0066" w:rsidP="00B7526B">
      <w:pPr>
        <w:keepNext/>
        <w:ind w:left="1080" w:hanging="540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EA306A">
        <w:rPr>
          <w:b/>
          <w:bCs/>
        </w:rPr>
      </w:r>
      <w:r w:rsidR="00EA306A"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055B3F" w:rsidRPr="00351F2F" w:rsidRDefault="00055B3F" w:rsidP="00055B3F">
      <w:pPr>
        <w:pStyle w:val="Prrafodelista"/>
        <w:keepNext/>
        <w:tabs>
          <w:tab w:val="left" w:pos="709"/>
        </w:tabs>
        <w:ind w:left="360"/>
      </w:pPr>
      <w:r>
        <w:t xml:space="preserve">   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306A">
        <w:fldChar w:fldCharType="separate"/>
      </w:r>
      <w:r w:rsidR="003E0066">
        <w:fldChar w:fldCharType="end"/>
      </w:r>
      <w:r>
        <w:t xml:space="preserve">   La empresa licitadora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acredita que la documentación de la opción anterior fue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, y se encuentra actualmente en vigor.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 w:rsidR="00EA306A"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 w:rsidR="00EA306A"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 w:rsidR="00EA306A"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3E0066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Subgrupo </w:t>
      </w:r>
      <w:r w:rsidR="003E0066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Categoría </w:t>
      </w:r>
      <w:r w:rsidR="003E0066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3E0066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3E0066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 w:rsidR="00EA306A"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Default="003E0066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 w:rsidR="00EA306A"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8018EF" w:rsidRDefault="008018EF" w:rsidP="00014ABC">
      <w:pPr>
        <w:keepNext/>
        <w:ind w:left="1080" w:hanging="540"/>
      </w:pPr>
    </w:p>
    <w:p w:rsidR="008018EF" w:rsidRPr="009B4D72" w:rsidRDefault="008018EF" w:rsidP="00014ABC">
      <w:pPr>
        <w:keepNext/>
        <w:ind w:left="1080" w:hanging="540"/>
      </w:pP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 w:rsidR="00EA306A"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3E0066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EA306A"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3E0066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EA306A"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EA306A"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EA306A"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EA306A"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EA306A"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3E0066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EA306A"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3E0066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EA306A"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3E0066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 w:rsidR="00EA306A"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r w:rsidRPr="004D2DDF">
        <w:lastRenderedPageBreak/>
        <w:t>Declaración responsable de pertenencia o no a grupo empresariales.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3E0066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3E0066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</w:tc>
      </w:tr>
    </w:tbl>
    <w:p w:rsidR="004D2DDF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 w:rsidR="00EA306A"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 w:rsidR="00EA306A"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 w:rsidR="00EA306A"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EA306A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3E0066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bookmarkEnd w:id="39"/>
      <w:r>
        <w:t xml:space="preserve">, a </w:t>
      </w:r>
      <w:bookmarkStart w:id="40" w:name="Texto48"/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E0066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EA306A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3E0066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EA306A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070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3E0066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sz w:val="32"/>
                <w:szCs w:val="32"/>
              </w:rPr>
            </w:r>
            <w:r w:rsidR="003E0066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3E0066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i/>
                <w:iCs/>
                <w:sz w:val="32"/>
                <w:szCs w:val="32"/>
              </w:rPr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 w:rsidR="00EA306A"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 w:rsidR="00EA306A"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8"/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3E0066" w:rsidP="00076D54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 w:rsidR="00EA306A"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EA306A"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EA306A"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EA306A"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 w:rsidR="00EA306A"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 w:rsidR="00EA306A"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 w:rsidR="00EA306A">
              <w:rPr>
                <w:b/>
                <w:bCs/>
              </w:rPr>
            </w:r>
            <w:r w:rsidR="00EA306A"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EA306A">
              <w:rPr>
                <w:b/>
                <w:bCs/>
              </w:rPr>
            </w:r>
            <w:r w:rsidR="00EA306A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EA306A">
              <w:rPr>
                <w:b/>
                <w:bCs/>
              </w:rPr>
            </w:r>
            <w:r w:rsidR="00EA306A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EA306A">
              <w:rPr>
                <w:b/>
                <w:bCs/>
              </w:rPr>
            </w:r>
            <w:r w:rsidR="00EA306A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EA306A">
              <w:rPr>
                <w:b/>
                <w:bCs/>
              </w:rPr>
            </w:r>
            <w:r w:rsidR="00EA306A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EA306A">
              <w:rPr>
                <w:b/>
                <w:bCs/>
              </w:rPr>
            </w:r>
            <w:r w:rsidR="00EA306A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EA306A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8" w:name="_Toc253175371"/>
      <w:r w:rsidRPr="007D7BD6">
        <w:lastRenderedPageBreak/>
        <w:t>Subcontratación.</w:t>
      </w:r>
      <w:bookmarkEnd w:id="58"/>
    </w:p>
    <w:p w:rsidR="000945DE" w:rsidRDefault="000945DE" w:rsidP="000945DE"/>
    <w:p w:rsidR="000945DE" w:rsidRDefault="003E0066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 w:rsidR="00EA306A"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3E0066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 w:rsidR="00EA306A"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3E0066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 w:rsidR="00EA306A"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9" w:name="Texto9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9"/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0" w:name="Texto97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60"/>
          </w:p>
          <w:p w:rsidR="000945DE" w:rsidRDefault="000945DE" w:rsidP="000945DE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 w:firstRow="1" w:lastRow="0" w:firstColumn="1" w:lastColumn="0" w:noHBand="0" w:noVBand="0"/>
      </w:tblPr>
      <w:tblGrid>
        <w:gridCol w:w="9070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t>Proposición económica</w:t>
      </w:r>
      <w:r w:rsidR="008E45F2">
        <w:t xml:space="preserve"> </w:t>
      </w:r>
      <w:r w:rsidR="00840F5F">
        <w:t xml:space="preserve">y la relativa al criterio evaluable de forma automática </w:t>
      </w:r>
      <w:r w:rsidR="008E45F2">
        <w:t>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1" w:name="Texto71"/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1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2" w:name="Texto72"/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2"/>
          </w:p>
        </w:tc>
      </w:tr>
    </w:tbl>
    <w:p w:rsidR="00496570" w:rsidRDefault="00496570" w:rsidP="005718CE"/>
    <w:p w:rsidR="0001018F" w:rsidRDefault="0001018F" w:rsidP="005718CE"/>
    <w:p w:rsidR="0001018F" w:rsidRDefault="0001018F" w:rsidP="005718CE"/>
    <w:p w:rsidR="00C54F89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 w:rsidR="00EA306A"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3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3"/>
      <w:r w:rsidR="00C54F89" w:rsidRPr="00125031">
        <w:t xml:space="preserve">, con D.N.I. nº </w:t>
      </w:r>
      <w:bookmarkStart w:id="64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en nombre y representación de </w:t>
      </w:r>
      <w:bookmarkStart w:id="65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6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</w:p>
    <w:p w:rsidR="0001018F" w:rsidRDefault="0001018F" w:rsidP="005718CE"/>
    <w:p w:rsidR="0001018F" w:rsidRDefault="0001018F" w:rsidP="005718CE"/>
    <w:p w:rsidR="0001018F" w:rsidRDefault="0001018F" w:rsidP="005718CE"/>
    <w:p w:rsidR="00C54F89" w:rsidRDefault="00C54F89" w:rsidP="00C54F89">
      <w:pPr>
        <w:jc w:val="center"/>
        <w:rPr>
          <w:b/>
        </w:rPr>
      </w:pPr>
      <w:r w:rsidRPr="008B3A31">
        <w:rPr>
          <w:b/>
        </w:rPr>
        <w:t>DECLARA</w:t>
      </w:r>
    </w:p>
    <w:p w:rsidR="0001018F" w:rsidRDefault="0001018F" w:rsidP="00C54F89">
      <w:pPr>
        <w:jc w:val="center"/>
        <w:rPr>
          <w:b/>
        </w:rPr>
      </w:pPr>
    </w:p>
    <w:p w:rsid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Default="0001018F" w:rsidP="00B14B71"/>
    <w:p w:rsidR="0001018F" w:rsidRPr="00C54F89" w:rsidRDefault="0001018F" w:rsidP="00B14B71"/>
    <w:p w:rsidR="00EA306A" w:rsidRDefault="00A63635" w:rsidP="00A63635">
      <w:pPr>
        <w:sectPr w:rsidR="00EA306A" w:rsidSect="00AB1F6C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rtlGutter/>
          <w:docGrid w:linePitch="360"/>
        </w:sectPr>
      </w:pPr>
      <w:r w:rsidRPr="00536AF0">
        <w:t xml:space="preserve">Que la persona jurídica a la que representa se compromete, en caso de resultar adjudicataria, a ejecutar el contrato de referencia </w:t>
      </w:r>
      <w:r>
        <w:t>(</w:t>
      </w:r>
      <w:r w:rsidR="00827795">
        <w:rPr>
          <w:b/>
        </w:rPr>
        <w:t>Expte.CT 0</w:t>
      </w:r>
      <w:r w:rsidR="00133245">
        <w:rPr>
          <w:b/>
        </w:rPr>
        <w:t>3</w:t>
      </w:r>
      <w:r w:rsidR="00B35675">
        <w:rPr>
          <w:b/>
        </w:rPr>
        <w:t>-201</w:t>
      </w:r>
      <w:r w:rsidR="0020160B">
        <w:rPr>
          <w:b/>
        </w:rPr>
        <w:t>6</w:t>
      </w:r>
      <w:r>
        <w:rPr>
          <w:b/>
        </w:rPr>
        <w:t xml:space="preserve">) </w:t>
      </w:r>
      <w:r w:rsidRPr="00536AF0">
        <w:t xml:space="preserve">con estricta sujeción a los requisitos exigidos, de acuerdo con las condiciones ofertadas, </w:t>
      </w:r>
      <w:r w:rsidR="002F0DBC">
        <w:t>y al precio máximo referido</w:t>
      </w:r>
      <w:r>
        <w:t xml:space="preserve"> en el detalle adju</w:t>
      </w:r>
      <w:r w:rsidR="000E4EA1">
        <w:t>nto, más su IVA correspondiente , así como las mejoras ofertadas en el caso que las hubiese.</w:t>
      </w:r>
    </w:p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tbl>
      <w:tblPr>
        <w:tblW w:w="1546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76"/>
        <w:gridCol w:w="4884"/>
        <w:gridCol w:w="1740"/>
        <w:gridCol w:w="1740"/>
        <w:gridCol w:w="1760"/>
        <w:gridCol w:w="1760"/>
        <w:gridCol w:w="1200"/>
      </w:tblGrid>
      <w:tr w:rsidR="00EA306A" w:rsidRPr="00EA306A" w:rsidTr="00EA306A">
        <w:trPr>
          <w:trHeight w:val="2160"/>
        </w:trPr>
        <w:tc>
          <w:tcPr>
            <w:tcW w:w="1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E26B0A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br w:type="page"/>
            </w: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LOTES</w:t>
            </w:r>
          </w:p>
        </w:tc>
        <w:tc>
          <w:tcPr>
            <w:tcW w:w="137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E26B0A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EQUIPAMIENTO</w:t>
            </w:r>
          </w:p>
        </w:tc>
        <w:tc>
          <w:tcPr>
            <w:tcW w:w="48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E26B0A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Elementos que lo componen</w:t>
            </w:r>
          </w:p>
        </w:tc>
        <w:tc>
          <w:tcPr>
            <w:tcW w:w="174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E26B0A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Unidades</w:t>
            </w:r>
          </w:p>
        </w:tc>
        <w:tc>
          <w:tcPr>
            <w:tcW w:w="174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Precio ofertado € (SIN IVA) 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nil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Mejoras técnicas valorables (Indicar SI o NO o, en su caso, la mejora que se oferta)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nil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Garantia (solo se tendran en cuenta los incrementos ,sobre la garantia mínima exigida, en años completos)Indicar solamente los años a añadir</w:t>
            </w:r>
          </w:p>
        </w:tc>
        <w:tc>
          <w:tcPr>
            <w:tcW w:w="1200" w:type="dxa"/>
            <w:tcBorders>
              <w:top w:val="single" w:sz="12" w:space="0" w:color="E26B0A"/>
              <w:left w:val="nil"/>
              <w:bottom w:val="nil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Instalación </w:t>
            </w:r>
          </w:p>
        </w:tc>
      </w:tr>
      <w:tr w:rsidR="00EA306A" w:rsidRPr="00EA306A" w:rsidTr="00EA306A">
        <w:trPr>
          <w:trHeight w:val="2610"/>
        </w:trPr>
        <w:tc>
          <w:tcPr>
            <w:tcW w:w="100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Cs w:val="22"/>
              </w:rPr>
              <w:t>LOTE 1- INDUSTRI4 Lab-Industria Conectada 4.0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Plataforma de BIG DATA y Arquitecturas Escalables para Industria Conectada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Entorno Siemens para replica de control de maquinaria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Electrónica/ cableado etc para instalacion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3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Pantalla 50" Para muestras de datos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Soporte con ruedas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43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Plataforma Groove para inteconexión de plataformas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67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Cluster de equipos micro pc para demos (portátil)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129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Encapsulamiento cluster mini (carcasa a medida, electricidad. Switch, cableado)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66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Soporte tablet para recogida de encuestas de confort ambiental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43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Tableta Android 9" para recogida de encuestas de confort ambiental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115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Servidor Virtualización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Servidor Desarrollo</w:t>
            </w:r>
            <w:bookmarkStart w:id="67" w:name="_GoBack"/>
            <w:bookmarkEnd w:id="67"/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8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Discos NAS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390"/>
        </w:trPr>
        <w:tc>
          <w:tcPr>
            <w:tcW w:w="7260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Precio ofertado para el  LOTE 1-INDUSTRI4 Lab-Industria Conectada 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E26B0A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E26B0A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E26B0A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E26B0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E26B0A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E26B0A"/>
                <w:sz w:val="20"/>
                <w:szCs w:val="20"/>
              </w:rPr>
              <w:t> </w:t>
            </w:r>
          </w:p>
        </w:tc>
      </w:tr>
      <w:tr w:rsidR="00EA306A" w:rsidRPr="00EA306A" w:rsidTr="00EA306A">
        <w:trPr>
          <w:trHeight w:val="465"/>
        </w:trPr>
        <w:tc>
          <w:tcPr>
            <w:tcW w:w="100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Cs w:val="22"/>
              </w:rPr>
              <w:t>LOTE 2- INDUSTRI4 Lab-visión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inmersión realidad virtual y aumentada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Pantalla de proyección wall para proyección vistas RV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81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Proyector para vistas VR corta distancia + soporte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Equipo de procesado de vistas VR Servidor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Switch 1 Gb 12 puertos + cableado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69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Sistema de sonido autoamplificado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69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Instalación eléctrica y sistema de  iluminación equipamiento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Oculus Rift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Kinect one + adaptador PC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1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ManusVR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Microsoft Hololents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337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Portátil preparado VR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Virtuix Omni y 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75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Sistema de sonido portátil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5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Samsung Galaxy Tab 9"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5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Samsung Galaxy S5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8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Equipo de desarrollo Lenovo X1 y base expansión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5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Kit experimentación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FLiR Dev Kit (cámada térmica)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70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Cámara de 5MP para Raspberry Pi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6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Raspberry Pi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Cámara Axis Q1615con artpec-5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Cámara uEye para aplicaciones industriales:  + 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Cámara go-5000 con global shutter: + accesorios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9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Dron aereo DJI Phantom 3 Professional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8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Gafas Vuzik M100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6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Kinect one + adaptador PC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Cámara Ricoh Theta S para grabación de vídeo 360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LEOTEC Android TV Box 4K Negro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4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Tableta Android Realidad aumentada Samsung Galaxy Tab 9 o 10"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5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Epson Moverio Bt300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46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Equipo de desarrollo Lenovo X1 y base expansión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330"/>
        </w:trPr>
        <w:tc>
          <w:tcPr>
            <w:tcW w:w="7260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Precio ofertado para el LOTE 2-INDUSTRI4 Lab-vision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306A" w:rsidRPr="00EA306A" w:rsidTr="00EA306A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Cs w:val="22"/>
              </w:rPr>
              <w:t>LOTE 3- Lab Envejecimietno activo y bienestar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Salud y Bienestar en el hogar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EMOTIV EPOC+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52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Pantalla 55"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Soporte con ruedas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PC mini gygabyte brix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Teclado ratón inalámbrico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37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Portatil para control central Lenovo X1+Base expansión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Kinect one + adaptador PC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Airbeam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Atmotube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Soporte tablet para recogida de encuestas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Tableta Android 9" para recogida de encuestas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Bruno Smartcan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Magic Mirror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Seguridad en el hogar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Innohome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Sistema antiinundaciones Flowban+ instalación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Cierre inteligente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71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Servicios del hogar inteligentes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Sistema domótico Fibaro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Sistema de lavado en seco doméstico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660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Nuevos interfaces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Expositor para láminas de realidad aumentada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Gafas de realidad virtual. Visores VR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Unidad de conversor táctil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Touchjet Wave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Robótica asistencial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Robot  http://www.bluefrogrobotics.com/en/home/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ezrobot kit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Irobot Icreate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61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Bienestar físico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Pulsioxímetro BT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Tensíometro BT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Pulsera Empatica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Pulsera Pebble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Pulsera Buddy de Blue Frog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Bttn wifi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 xml:space="preserve">Digisole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EmberMug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Sistema Hydra Smartbottle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Smart Thermometer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Avisador Lifeline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Microbot push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OZMO bote inteligente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Avisador TracRBravo (pack de 10 unidades)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Entrenador Skulpt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Smart Plate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  <w:r w:rsidRPr="00EA306A"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  <w:t>TICs y mayores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Eblocker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Ordenador para personas mayores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A306A" w:rsidRPr="00EA306A" w:rsidTr="00EA306A">
        <w:trPr>
          <w:trHeight w:val="285"/>
        </w:trPr>
        <w:tc>
          <w:tcPr>
            <w:tcW w:w="100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E26B0A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306A">
              <w:rPr>
                <w:rFonts w:ascii="Arial" w:hAnsi="Arial" w:cs="Arial"/>
                <w:sz w:val="16"/>
                <w:szCs w:val="16"/>
              </w:rPr>
              <w:t>Memo minder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D9D9D9"/>
            <w:noWrap/>
            <w:vAlign w:val="center"/>
            <w:hideMark/>
          </w:tcPr>
          <w:p w:rsidR="00EA306A" w:rsidRPr="00EA306A" w:rsidRDefault="00EA306A" w:rsidP="00EA306A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A306A">
              <w:rPr>
                <w:rFonts w:cs="Arial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EA306A" w:rsidRPr="00EA306A" w:rsidTr="00EA306A">
        <w:trPr>
          <w:trHeight w:val="330"/>
        </w:trPr>
        <w:tc>
          <w:tcPr>
            <w:tcW w:w="7260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ofertado para el LOTE 3-lab Envejecimiento activo y bienestar</w:t>
            </w:r>
          </w:p>
        </w:tc>
        <w:tc>
          <w:tcPr>
            <w:tcW w:w="1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EA306A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EA306A" w:rsidRPr="00EA306A" w:rsidRDefault="00EA306A" w:rsidP="00EA306A">
            <w:pPr>
              <w:spacing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0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1018F" w:rsidRDefault="0001018F" w:rsidP="00A63635"/>
    <w:p w:rsidR="00EA306A" w:rsidRDefault="00EA306A">
      <w:pPr>
        <w:spacing w:before="0" w:after="0"/>
        <w:jc w:val="left"/>
        <w:sectPr w:rsidR="00EA306A" w:rsidSect="00EA306A">
          <w:pgSz w:w="23811" w:h="16838" w:orient="landscape" w:code="8"/>
          <w:pgMar w:top="1418" w:right="1418" w:bottom="1418" w:left="1418" w:header="709" w:footer="709" w:gutter="0"/>
          <w:cols w:space="708"/>
          <w:rtlGutter/>
          <w:docGrid w:linePitch="360"/>
        </w:sectPr>
      </w:pPr>
      <w:r>
        <w:br w:type="page"/>
      </w:r>
    </w:p>
    <w:p w:rsidR="00EA306A" w:rsidRDefault="00EA306A">
      <w:pPr>
        <w:spacing w:before="0" w:after="0"/>
        <w:jc w:val="left"/>
      </w:pPr>
    </w:p>
    <w:p w:rsidR="00F166D4" w:rsidRDefault="00F166D4" w:rsidP="00A63635"/>
    <w:p w:rsidR="00B87669" w:rsidRDefault="00B87669" w:rsidP="00F166D4"/>
    <w:p w:rsidR="00B508E2" w:rsidRDefault="00B508E2" w:rsidP="00F166D4"/>
    <w:p w:rsidR="00B508E2" w:rsidRDefault="00B508E2" w:rsidP="00F166D4"/>
    <w:p w:rsidR="00B508E2" w:rsidRDefault="00B508E2" w:rsidP="00F166D4"/>
    <w:p w:rsidR="00B508E2" w:rsidRDefault="00B508E2" w:rsidP="00F166D4"/>
    <w:p w:rsidR="00B50702" w:rsidRPr="002F0DBC" w:rsidRDefault="00B50702" w:rsidP="00F166D4"/>
    <w:p w:rsidR="00F166D4" w:rsidRPr="002F0DBC" w:rsidRDefault="00F166D4" w:rsidP="00F166D4"/>
    <w:p w:rsidR="0001018F" w:rsidRPr="002F0DBC" w:rsidRDefault="0001018F" w:rsidP="00A63635"/>
    <w:p w:rsidR="00A63635" w:rsidRPr="00536AF0" w:rsidRDefault="007775BE" w:rsidP="00EA306A">
      <w:r>
        <w:t>E</w:t>
      </w:r>
      <w:r w:rsidR="00A63635" w:rsidRPr="00536AF0">
        <w:t xml:space="preserve">n </w:t>
      </w:r>
      <w:r w:rsidR="003E0066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3E0066" w:rsidRPr="00536AF0">
        <w:fldChar w:fldCharType="end"/>
      </w:r>
      <w:r w:rsidR="00A63635" w:rsidRPr="00536AF0">
        <w:t xml:space="preserve">, a </w:t>
      </w:r>
      <w:r w:rsidR="003E0066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3E0066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305090" w:rsidRPr="002F0DBC" w:rsidRDefault="00305090" w:rsidP="00F05ECE"/>
    <w:p w:rsidR="008E45F2" w:rsidRPr="00125031" w:rsidRDefault="008E45F2" w:rsidP="00F05ECE"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54F89" w:rsidRDefault="00A95812" w:rsidP="0052177B">
      <w:pPr>
        <w:jc w:val="center"/>
      </w:pPr>
      <w:r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3E0066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 w:rsidR="00EA306A"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3E0066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 w:rsidR="00EA306A"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EA306A"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6A" w:rsidRDefault="00EA306A">
      <w:r>
        <w:separator/>
      </w:r>
    </w:p>
  </w:endnote>
  <w:endnote w:type="continuationSeparator" w:id="0">
    <w:p w:rsidR="00EA306A" w:rsidRDefault="00EA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6A" w:rsidRPr="004B5EE9" w:rsidRDefault="00EA306A" w:rsidP="00382664">
    <w:pPr>
      <w:jc w:val="right"/>
      <w:rPr>
        <w:color w:val="115F9F"/>
      </w:rPr>
    </w:pPr>
  </w:p>
  <w:p w:rsidR="00EA306A" w:rsidRPr="00CB0004" w:rsidRDefault="00EA306A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Pr="00CB0004">
      <w:rPr>
        <w:color w:val="FF6600"/>
        <w:sz w:val="16"/>
        <w:szCs w:val="16"/>
      </w:rPr>
      <w:fldChar w:fldCharType="separate"/>
    </w:r>
    <w:r w:rsidR="00133245">
      <w:rPr>
        <w:noProof/>
        <w:color w:val="FF6600"/>
        <w:sz w:val="16"/>
        <w:szCs w:val="16"/>
      </w:rPr>
      <w:t>25</w:t>
    </w:r>
    <w:r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Pr="00CB0004">
      <w:rPr>
        <w:color w:val="FF6600"/>
        <w:sz w:val="16"/>
        <w:szCs w:val="16"/>
      </w:rPr>
      <w:fldChar w:fldCharType="separate"/>
    </w:r>
    <w:r w:rsidR="00133245">
      <w:rPr>
        <w:noProof/>
        <w:color w:val="FF6600"/>
        <w:sz w:val="16"/>
        <w:szCs w:val="16"/>
      </w:rPr>
      <w:t>32</w:t>
    </w:r>
    <w:r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6A" w:rsidRDefault="00EA306A">
      <w:r>
        <w:separator/>
      </w:r>
    </w:p>
  </w:footnote>
  <w:footnote w:type="continuationSeparator" w:id="0">
    <w:p w:rsidR="00EA306A" w:rsidRDefault="00EA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6A" w:rsidRPr="00CB0004" w:rsidRDefault="00EA306A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 w:rsidRPr="0020160B">
      <w:rPr>
        <w:rFonts w:ascii="Cambria" w:hAnsi="Cambria"/>
        <w:caps/>
        <w:noProof/>
        <w:color w:val="FF6600"/>
      </w:rPr>
      <w:drawing>
        <wp:inline distT="0" distB="0" distL="0" distR="0">
          <wp:extent cx="1307697" cy="334031"/>
          <wp:effectExtent l="19050" t="0" r="6753" b="0"/>
          <wp:docPr id="1" name="3 Imagen" descr="nuevo logoCTI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CTIC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666" cy="3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06A" w:rsidRDefault="00EA30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A9"/>
    <w:rsid w:val="00006C66"/>
    <w:rsid w:val="0001018F"/>
    <w:rsid w:val="00014ABC"/>
    <w:rsid w:val="000212F3"/>
    <w:rsid w:val="00026BA9"/>
    <w:rsid w:val="00032253"/>
    <w:rsid w:val="00052B6F"/>
    <w:rsid w:val="00055B3F"/>
    <w:rsid w:val="00060098"/>
    <w:rsid w:val="00061DE4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4EA1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33245"/>
    <w:rsid w:val="00154CCA"/>
    <w:rsid w:val="0017595D"/>
    <w:rsid w:val="0018106D"/>
    <w:rsid w:val="00181574"/>
    <w:rsid w:val="00181C8E"/>
    <w:rsid w:val="00183BBB"/>
    <w:rsid w:val="001A24A0"/>
    <w:rsid w:val="001A4C9E"/>
    <w:rsid w:val="001A5829"/>
    <w:rsid w:val="001A73A8"/>
    <w:rsid w:val="001B0897"/>
    <w:rsid w:val="001B66A4"/>
    <w:rsid w:val="001C591A"/>
    <w:rsid w:val="001C719C"/>
    <w:rsid w:val="001D743B"/>
    <w:rsid w:val="001F7B8D"/>
    <w:rsid w:val="0020160B"/>
    <w:rsid w:val="0020280A"/>
    <w:rsid w:val="00210C34"/>
    <w:rsid w:val="002116EB"/>
    <w:rsid w:val="00215607"/>
    <w:rsid w:val="00227AE1"/>
    <w:rsid w:val="00231AF8"/>
    <w:rsid w:val="00263BC4"/>
    <w:rsid w:val="002670D7"/>
    <w:rsid w:val="00271172"/>
    <w:rsid w:val="00281119"/>
    <w:rsid w:val="00296BD7"/>
    <w:rsid w:val="002A2118"/>
    <w:rsid w:val="002B4B08"/>
    <w:rsid w:val="002E102A"/>
    <w:rsid w:val="002E224C"/>
    <w:rsid w:val="002E5258"/>
    <w:rsid w:val="002E7EF9"/>
    <w:rsid w:val="002F0DBC"/>
    <w:rsid w:val="002F2369"/>
    <w:rsid w:val="002F6242"/>
    <w:rsid w:val="00301B25"/>
    <w:rsid w:val="00301CDD"/>
    <w:rsid w:val="00305090"/>
    <w:rsid w:val="003056AC"/>
    <w:rsid w:val="00307C77"/>
    <w:rsid w:val="00351B58"/>
    <w:rsid w:val="00351F2F"/>
    <w:rsid w:val="00357238"/>
    <w:rsid w:val="00365813"/>
    <w:rsid w:val="00365983"/>
    <w:rsid w:val="00371067"/>
    <w:rsid w:val="00374E74"/>
    <w:rsid w:val="00382664"/>
    <w:rsid w:val="00383994"/>
    <w:rsid w:val="00397667"/>
    <w:rsid w:val="003A4740"/>
    <w:rsid w:val="003A4DA5"/>
    <w:rsid w:val="003B3B8F"/>
    <w:rsid w:val="003B6830"/>
    <w:rsid w:val="003B69D1"/>
    <w:rsid w:val="003C5340"/>
    <w:rsid w:val="003D5147"/>
    <w:rsid w:val="003E0066"/>
    <w:rsid w:val="003E6984"/>
    <w:rsid w:val="003E7173"/>
    <w:rsid w:val="004115EF"/>
    <w:rsid w:val="00421A02"/>
    <w:rsid w:val="00426024"/>
    <w:rsid w:val="0043305E"/>
    <w:rsid w:val="004364B4"/>
    <w:rsid w:val="00441DB3"/>
    <w:rsid w:val="0045209B"/>
    <w:rsid w:val="00452E9A"/>
    <w:rsid w:val="00455F31"/>
    <w:rsid w:val="00456401"/>
    <w:rsid w:val="0046435B"/>
    <w:rsid w:val="00477810"/>
    <w:rsid w:val="00495698"/>
    <w:rsid w:val="00496570"/>
    <w:rsid w:val="004A3157"/>
    <w:rsid w:val="004B53E2"/>
    <w:rsid w:val="004B5EE9"/>
    <w:rsid w:val="004D2DDF"/>
    <w:rsid w:val="004D5208"/>
    <w:rsid w:val="004D64FD"/>
    <w:rsid w:val="004E2CB4"/>
    <w:rsid w:val="004E5A29"/>
    <w:rsid w:val="004F6C84"/>
    <w:rsid w:val="00512681"/>
    <w:rsid w:val="0052177B"/>
    <w:rsid w:val="00525389"/>
    <w:rsid w:val="00540BA8"/>
    <w:rsid w:val="0054315C"/>
    <w:rsid w:val="005614A3"/>
    <w:rsid w:val="00563F68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1AF"/>
    <w:rsid w:val="00625957"/>
    <w:rsid w:val="006321E1"/>
    <w:rsid w:val="006447E6"/>
    <w:rsid w:val="00653C27"/>
    <w:rsid w:val="00655954"/>
    <w:rsid w:val="00656C97"/>
    <w:rsid w:val="00662103"/>
    <w:rsid w:val="006624C3"/>
    <w:rsid w:val="006644D8"/>
    <w:rsid w:val="0066737D"/>
    <w:rsid w:val="00674750"/>
    <w:rsid w:val="006B47C8"/>
    <w:rsid w:val="006C22AC"/>
    <w:rsid w:val="006C40D9"/>
    <w:rsid w:val="006D4EC8"/>
    <w:rsid w:val="006D649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2CE"/>
    <w:rsid w:val="007775BE"/>
    <w:rsid w:val="007A1484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018EF"/>
    <w:rsid w:val="008149D5"/>
    <w:rsid w:val="00827795"/>
    <w:rsid w:val="00833897"/>
    <w:rsid w:val="0084035E"/>
    <w:rsid w:val="00840F5F"/>
    <w:rsid w:val="008432BD"/>
    <w:rsid w:val="00844256"/>
    <w:rsid w:val="0084608F"/>
    <w:rsid w:val="00850D91"/>
    <w:rsid w:val="00857E73"/>
    <w:rsid w:val="00864440"/>
    <w:rsid w:val="0088305C"/>
    <w:rsid w:val="008941B6"/>
    <w:rsid w:val="00894CFE"/>
    <w:rsid w:val="00895FB5"/>
    <w:rsid w:val="008B3A31"/>
    <w:rsid w:val="008B5F10"/>
    <w:rsid w:val="008C11F0"/>
    <w:rsid w:val="008D0E69"/>
    <w:rsid w:val="008D132A"/>
    <w:rsid w:val="008E3F04"/>
    <w:rsid w:val="008E45F2"/>
    <w:rsid w:val="008E4799"/>
    <w:rsid w:val="009143C5"/>
    <w:rsid w:val="00934F31"/>
    <w:rsid w:val="009A2D2D"/>
    <w:rsid w:val="009A2E23"/>
    <w:rsid w:val="009A30BF"/>
    <w:rsid w:val="009B4D72"/>
    <w:rsid w:val="009D23A3"/>
    <w:rsid w:val="009E6193"/>
    <w:rsid w:val="009F00DD"/>
    <w:rsid w:val="009F2FE1"/>
    <w:rsid w:val="00A12721"/>
    <w:rsid w:val="00A31B07"/>
    <w:rsid w:val="00A36DDD"/>
    <w:rsid w:val="00A4428B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0761"/>
    <w:rsid w:val="00AC7B50"/>
    <w:rsid w:val="00AE10CE"/>
    <w:rsid w:val="00AF2052"/>
    <w:rsid w:val="00AF4A10"/>
    <w:rsid w:val="00B03F28"/>
    <w:rsid w:val="00B053C9"/>
    <w:rsid w:val="00B14B71"/>
    <w:rsid w:val="00B32D0A"/>
    <w:rsid w:val="00B35675"/>
    <w:rsid w:val="00B50702"/>
    <w:rsid w:val="00B508E2"/>
    <w:rsid w:val="00B60A72"/>
    <w:rsid w:val="00B65B9D"/>
    <w:rsid w:val="00B65E52"/>
    <w:rsid w:val="00B70E6F"/>
    <w:rsid w:val="00B74A02"/>
    <w:rsid w:val="00B7526B"/>
    <w:rsid w:val="00B87669"/>
    <w:rsid w:val="00BA0BAA"/>
    <w:rsid w:val="00BA4146"/>
    <w:rsid w:val="00BD2F04"/>
    <w:rsid w:val="00BE4E23"/>
    <w:rsid w:val="00BF17B1"/>
    <w:rsid w:val="00BF6FBC"/>
    <w:rsid w:val="00C01C20"/>
    <w:rsid w:val="00C0476C"/>
    <w:rsid w:val="00C21E81"/>
    <w:rsid w:val="00C34AB4"/>
    <w:rsid w:val="00C43C73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037B5"/>
    <w:rsid w:val="00D16CAE"/>
    <w:rsid w:val="00D17C41"/>
    <w:rsid w:val="00D34F74"/>
    <w:rsid w:val="00D35987"/>
    <w:rsid w:val="00D43EB0"/>
    <w:rsid w:val="00D4405B"/>
    <w:rsid w:val="00D44DB1"/>
    <w:rsid w:val="00D639B8"/>
    <w:rsid w:val="00D96B2B"/>
    <w:rsid w:val="00D96F2C"/>
    <w:rsid w:val="00D9749F"/>
    <w:rsid w:val="00DA231B"/>
    <w:rsid w:val="00DB38A6"/>
    <w:rsid w:val="00DC3056"/>
    <w:rsid w:val="00DC58E6"/>
    <w:rsid w:val="00DD069A"/>
    <w:rsid w:val="00DE2CA3"/>
    <w:rsid w:val="00DF3D99"/>
    <w:rsid w:val="00E02A9E"/>
    <w:rsid w:val="00E30702"/>
    <w:rsid w:val="00E369F4"/>
    <w:rsid w:val="00E52961"/>
    <w:rsid w:val="00E64DA3"/>
    <w:rsid w:val="00E73A13"/>
    <w:rsid w:val="00E77EC8"/>
    <w:rsid w:val="00EA306A"/>
    <w:rsid w:val="00EB146A"/>
    <w:rsid w:val="00EB5C29"/>
    <w:rsid w:val="00EC73E6"/>
    <w:rsid w:val="00ED006D"/>
    <w:rsid w:val="00ED3BF2"/>
    <w:rsid w:val="00EF438E"/>
    <w:rsid w:val="00F05ECE"/>
    <w:rsid w:val="00F14F78"/>
    <w:rsid w:val="00F15A75"/>
    <w:rsid w:val="00F166D4"/>
    <w:rsid w:val="00F205F3"/>
    <w:rsid w:val="00F31112"/>
    <w:rsid w:val="00F32076"/>
    <w:rsid w:val="00F56A94"/>
    <w:rsid w:val="00F57B29"/>
    <w:rsid w:val="00F614F6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  <w14:docId w14:val="4492E540"/>
  <w15:docId w15:val="{1FB25186-41B1-4BFD-A8BF-DE42B6D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rFonts w:ascii="Calibri" w:hAnsi="Calibri" w:cs="Arial"/>
      <w:b/>
      <w:bCs/>
      <w:color w:val="FFFFFF"/>
      <w:kern w:val="32"/>
      <w:sz w:val="28"/>
      <w:szCs w:val="28"/>
      <w:lang w:val="es-ES" w:eastAsia="es-ES" w:bidi="ar-SA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rFonts w:ascii="Calibri" w:hAnsi="Calibri" w:cs="Times New Roman"/>
      <w:bCs/>
      <w:color w:val="FF6600"/>
      <w:sz w:val="22"/>
      <w:szCs w:val="22"/>
      <w:lang w:val="en-US" w:eastAsia="en-US" w:bidi="ar-SA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421">
    <w:name w:val="EstiloCorreo421"/>
    <w:basedOn w:val="Fuentedeprrafopredeter"/>
    <w:semiHidden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05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2160-5650-4382-9050-5811662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6100</Words>
  <Characters>33552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2</cp:revision>
  <cp:lastPrinted>2010-04-07T07:33:00Z</cp:lastPrinted>
  <dcterms:created xsi:type="dcterms:W3CDTF">2016-11-11T12:47:00Z</dcterms:created>
  <dcterms:modified xsi:type="dcterms:W3CDTF">2016-11-11T12:47:00Z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